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15BD" w14:textId="77777777" w:rsidR="001E7997" w:rsidRDefault="002E09F0" w:rsidP="00885277">
      <w:pPr>
        <w:spacing w:before="120" w:after="120" w:line="276" w:lineRule="auto"/>
        <w:ind w:left="-1701"/>
      </w:pPr>
      <w:r>
        <w:rPr>
          <w:noProof/>
        </w:rPr>
        <w:pict w14:anchorId="7FE8E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47179BF9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6FC76EA7" w14:textId="77777777" w:rsidR="00F063AB" w:rsidRPr="00087F0D" w:rsidRDefault="00F063AB" w:rsidP="00F063AB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087F0D">
        <w:rPr>
          <w:rFonts w:cs="Calibri"/>
          <w:b/>
          <w:color w:val="000000"/>
          <w:sz w:val="28"/>
          <w:szCs w:val="28"/>
        </w:rPr>
        <w:t xml:space="preserve">Registos corta-fogo </w:t>
      </w:r>
      <w:proofErr w:type="spellStart"/>
      <w:r w:rsidRPr="00087F0D">
        <w:rPr>
          <w:rFonts w:cs="Calibri"/>
          <w:b/>
          <w:color w:val="000000"/>
          <w:sz w:val="28"/>
          <w:szCs w:val="28"/>
        </w:rPr>
        <w:t>retângulares</w:t>
      </w:r>
      <w:proofErr w:type="spellEnd"/>
      <w:r w:rsidRPr="00087F0D">
        <w:rPr>
          <w:rFonts w:cs="Calibri"/>
          <w:b/>
          <w:color w:val="000000"/>
          <w:sz w:val="28"/>
          <w:szCs w:val="28"/>
        </w:rPr>
        <w:t xml:space="preserve"> – Térmicos</w:t>
      </w:r>
    </w:p>
    <w:p w14:paraId="50ECFCA5" w14:textId="77777777" w:rsidR="00F063AB" w:rsidRPr="00087F0D" w:rsidRDefault="00F063AB" w:rsidP="00F063AB">
      <w:pPr>
        <w:spacing w:after="100" w:line="280" w:lineRule="exact"/>
        <w:jc w:val="both"/>
        <w:rPr>
          <w:rFonts w:cs="Calibri"/>
          <w:b/>
          <w:color w:val="000000"/>
        </w:rPr>
      </w:pPr>
      <w:r w:rsidRPr="00087F0D">
        <w:rPr>
          <w:rFonts w:cs="Calibri"/>
          <w:b/>
          <w:color w:val="000000"/>
        </w:rPr>
        <w:t xml:space="preserve">Dimensões 200x100 até 1500x800 </w:t>
      </w:r>
    </w:p>
    <w:p w14:paraId="2EA52913" w14:textId="77777777" w:rsidR="00F063AB" w:rsidRPr="00977899" w:rsidRDefault="00F063AB" w:rsidP="00F063AB">
      <w:pPr>
        <w:spacing w:after="1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78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257D4B" w14:textId="77777777" w:rsidR="00F063AB" w:rsidRPr="00087F0D" w:rsidRDefault="00F063AB" w:rsidP="00F063AB">
      <w:pPr>
        <w:spacing w:after="120" w:line="260" w:lineRule="exact"/>
        <w:rPr>
          <w:b/>
          <w:color w:val="000000"/>
        </w:rPr>
      </w:pPr>
      <w:r w:rsidRPr="00087F0D">
        <w:rPr>
          <w:b/>
          <w:color w:val="000000"/>
        </w:rPr>
        <w:t>Descrição</w:t>
      </w:r>
    </w:p>
    <w:p w14:paraId="66447358" w14:textId="77777777" w:rsidR="00F063AB" w:rsidRPr="00F063AB" w:rsidRDefault="00F063AB" w:rsidP="00F063AB">
      <w:pPr>
        <w:spacing w:after="120" w:line="260" w:lineRule="exact"/>
        <w:rPr>
          <w:rFonts w:cs="Calibri"/>
          <w:color w:val="595959"/>
          <w:sz w:val="18"/>
          <w:szCs w:val="18"/>
        </w:rPr>
      </w:pPr>
      <w:r w:rsidRPr="00F063AB">
        <w:rPr>
          <w:rFonts w:cs="Calibri"/>
          <w:color w:val="595959"/>
          <w:sz w:val="18"/>
          <w:szCs w:val="18"/>
        </w:rPr>
        <w:t xml:space="preserve">Registos corta-fogo do tipo </w:t>
      </w:r>
      <w:proofErr w:type="spellStart"/>
      <w:r w:rsidRPr="00F063AB">
        <w:rPr>
          <w:rFonts w:cs="Calibri"/>
          <w:color w:val="595959"/>
          <w:sz w:val="18"/>
          <w:szCs w:val="18"/>
        </w:rPr>
        <w:t>unilâmina</w:t>
      </w:r>
      <w:proofErr w:type="spellEnd"/>
      <w:r w:rsidRPr="00F063AB">
        <w:rPr>
          <w:rFonts w:cs="Calibri"/>
          <w:color w:val="595959"/>
          <w:sz w:val="18"/>
          <w:szCs w:val="18"/>
        </w:rPr>
        <w:t xml:space="preserve"> a instalar nos locais assinalados nos desenhos, destinados ao fecho no caso de incêndio nas instalações de AVAC de modo a constituírem uma barreira perfeita à propagação de fumo quente e ao fogo.</w:t>
      </w:r>
    </w:p>
    <w:p w14:paraId="6B09F3A6" w14:textId="77777777" w:rsidR="00F063AB" w:rsidRPr="00F063AB" w:rsidRDefault="00F063AB" w:rsidP="00F063AB">
      <w:pPr>
        <w:spacing w:after="120" w:line="260" w:lineRule="exact"/>
        <w:rPr>
          <w:rFonts w:cs="Calibri"/>
          <w:color w:val="000000"/>
        </w:rPr>
      </w:pPr>
      <w:r w:rsidRPr="00F063AB">
        <w:rPr>
          <w:rFonts w:cs="Calibri"/>
          <w:color w:val="595959"/>
          <w:sz w:val="18"/>
          <w:szCs w:val="18"/>
        </w:rPr>
        <w:t>Serão adequados para montagem em paredes e t</w:t>
      </w:r>
      <w:r>
        <w:rPr>
          <w:rFonts w:cs="Calibri"/>
          <w:color w:val="595959"/>
          <w:sz w:val="18"/>
          <w:szCs w:val="18"/>
        </w:rPr>
        <w:t>e</w:t>
      </w:r>
      <w:r w:rsidRPr="00F063AB">
        <w:rPr>
          <w:rFonts w:cs="Calibri"/>
          <w:color w:val="595959"/>
          <w:sz w:val="18"/>
          <w:szCs w:val="18"/>
        </w:rPr>
        <w:t>tos independentemente da sua posição de montagem e da direção de passagem do ar. O fusível térmico pode ser removido para inspeção ou substituição pelo lado exterior</w:t>
      </w:r>
      <w:r w:rsidRPr="00F063AB">
        <w:rPr>
          <w:rFonts w:cs="Calibri"/>
          <w:color w:val="000000"/>
          <w:sz w:val="18"/>
          <w:szCs w:val="18"/>
        </w:rPr>
        <w:t>.</w:t>
      </w:r>
      <w:r w:rsidRPr="00F063AB">
        <w:rPr>
          <w:rFonts w:cs="Calibri"/>
          <w:color w:val="000000"/>
        </w:rPr>
        <w:t xml:space="preserve"> </w:t>
      </w:r>
    </w:p>
    <w:p w14:paraId="77D50ABB" w14:textId="77777777" w:rsidR="00F063AB" w:rsidRDefault="00F063AB" w:rsidP="00F063AB">
      <w:pPr>
        <w:spacing w:after="100" w:line="276" w:lineRule="auto"/>
        <w:jc w:val="both"/>
        <w:rPr>
          <w:rFonts w:ascii="Arial" w:hAnsi="Arial" w:cs="Arial"/>
          <w:color w:val="000000"/>
        </w:rPr>
      </w:pPr>
    </w:p>
    <w:p w14:paraId="6FE9799F" w14:textId="77777777" w:rsidR="009E517B" w:rsidRDefault="009E517B" w:rsidP="009E517B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6AEBB3AF" w14:textId="77777777" w:rsidR="009E517B" w:rsidRPr="003B6E22" w:rsidRDefault="009E517B" w:rsidP="009E517B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6F592234" w14:textId="77777777" w:rsidR="009E517B" w:rsidRPr="003B6E22" w:rsidRDefault="009E517B" w:rsidP="009E517B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498218CE" w14:textId="77777777" w:rsidR="009E517B" w:rsidRPr="003B6E22" w:rsidRDefault="009E517B" w:rsidP="009E517B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>) – em Português</w:t>
      </w:r>
    </w:p>
    <w:p w14:paraId="1EFE70AD" w14:textId="77777777" w:rsidR="009E517B" w:rsidRPr="003B6E22" w:rsidRDefault="009E517B" w:rsidP="009E517B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22356E86" w14:textId="77777777" w:rsidR="009E517B" w:rsidRPr="003B6E22" w:rsidRDefault="009E517B" w:rsidP="009E517B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76DDBDB4" w14:textId="77777777" w:rsidR="009E517B" w:rsidRPr="00995778" w:rsidRDefault="009E517B" w:rsidP="009E517B">
      <w:pPr>
        <w:numPr>
          <w:ilvl w:val="0"/>
          <w:numId w:val="10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64BD95E0" w14:textId="77777777" w:rsidR="00F063AB" w:rsidRPr="00977899" w:rsidRDefault="00F063AB" w:rsidP="00F063AB">
      <w:pPr>
        <w:spacing w:after="100" w:line="276" w:lineRule="auto"/>
        <w:jc w:val="both"/>
        <w:rPr>
          <w:rFonts w:ascii="Arial" w:hAnsi="Arial" w:cs="Arial"/>
          <w:color w:val="000000"/>
        </w:rPr>
      </w:pPr>
    </w:p>
    <w:p w14:paraId="582B8D09" w14:textId="77777777" w:rsidR="00F063AB" w:rsidRDefault="00F063AB" w:rsidP="00F063AB">
      <w:pPr>
        <w:spacing w:after="100" w:line="276" w:lineRule="auto"/>
        <w:jc w:val="both"/>
        <w:rPr>
          <w:b/>
          <w:color w:val="000000"/>
        </w:rPr>
      </w:pPr>
      <w:r w:rsidRPr="00087F0D">
        <w:rPr>
          <w:b/>
          <w:color w:val="000000"/>
        </w:rPr>
        <w:t xml:space="preserve">Características técnicas </w:t>
      </w:r>
    </w:p>
    <w:p w14:paraId="19CE8A3B" w14:textId="77777777" w:rsidR="00F063AB" w:rsidRPr="00087F0D" w:rsidRDefault="00F063AB" w:rsidP="00F063AB">
      <w:pPr>
        <w:spacing w:after="100" w:line="276" w:lineRule="auto"/>
        <w:jc w:val="both"/>
        <w:rPr>
          <w:b/>
          <w:color w:val="000000"/>
        </w:rPr>
      </w:pPr>
    </w:p>
    <w:p w14:paraId="2399CBDB" w14:textId="77777777" w:rsidR="00F063AB" w:rsidRPr="00087F0D" w:rsidRDefault="00F063AB" w:rsidP="00F063AB">
      <w:pPr>
        <w:spacing w:after="100" w:line="276" w:lineRule="auto"/>
        <w:jc w:val="both"/>
        <w:rPr>
          <w:b/>
          <w:color w:val="000000"/>
        </w:rPr>
      </w:pPr>
      <w:r w:rsidRPr="00087F0D">
        <w:rPr>
          <w:b/>
          <w:color w:val="000000"/>
        </w:rPr>
        <w:t>Corpo do registo</w:t>
      </w:r>
    </w:p>
    <w:p w14:paraId="5E2E62E7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O corpo será em chapa de aço galvanizada.</w:t>
      </w:r>
    </w:p>
    <w:p w14:paraId="349529A9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Veios em aço galvanizado, chumaceiras em latão, isentos de manutenção.</w:t>
      </w:r>
    </w:p>
    <w:p w14:paraId="596C07E4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Lâmina de fecho basculante em material isolante especial.</w:t>
      </w:r>
    </w:p>
    <w:p w14:paraId="2077AB51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Deverá ter certificado de higiene, de entidade idónea e competente – por ex. a VDI6022.</w:t>
      </w:r>
    </w:p>
    <w:p w14:paraId="29F41513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Sem batente em qualquer dimensão.</w:t>
      </w:r>
    </w:p>
    <w:p w14:paraId="13D93ACB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Classe de resistência ao fogo até EI 120 (</w:t>
      </w:r>
      <w:proofErr w:type="spellStart"/>
      <w:r w:rsidRPr="00087F0D">
        <w:rPr>
          <w:color w:val="595959"/>
          <w:sz w:val="18"/>
          <w:szCs w:val="18"/>
        </w:rPr>
        <w:t>ve</w:t>
      </w:r>
      <w:proofErr w:type="spellEnd"/>
      <w:r w:rsidRPr="00087F0D">
        <w:rPr>
          <w:color w:val="595959"/>
          <w:sz w:val="18"/>
          <w:szCs w:val="18"/>
        </w:rPr>
        <w:t xml:space="preserve">, </w:t>
      </w:r>
      <w:proofErr w:type="spellStart"/>
      <w:r w:rsidRPr="00087F0D">
        <w:rPr>
          <w:color w:val="595959"/>
          <w:sz w:val="18"/>
          <w:szCs w:val="18"/>
        </w:rPr>
        <w:t>ho</w:t>
      </w:r>
      <w:proofErr w:type="spellEnd"/>
      <w:r w:rsidRPr="00087F0D">
        <w:rPr>
          <w:color w:val="595959"/>
          <w:sz w:val="18"/>
          <w:szCs w:val="18"/>
        </w:rPr>
        <w:t xml:space="preserve"> </w:t>
      </w:r>
      <w:proofErr w:type="spellStart"/>
      <w:r w:rsidRPr="00087F0D">
        <w:rPr>
          <w:color w:val="595959"/>
          <w:sz w:val="18"/>
          <w:szCs w:val="18"/>
        </w:rPr>
        <w:t>i↔0</w:t>
      </w:r>
      <w:proofErr w:type="spellEnd"/>
      <w:r w:rsidRPr="00087F0D">
        <w:rPr>
          <w:color w:val="595959"/>
          <w:sz w:val="18"/>
          <w:szCs w:val="18"/>
        </w:rPr>
        <w:t>) S, segundo a norma europeia EN 13501-3.</w:t>
      </w:r>
    </w:p>
    <w:p w14:paraId="0FB13CC4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Estanquidade da caixa de acordo com a norma EN 1751, Classe B.</w:t>
      </w:r>
    </w:p>
    <w:p w14:paraId="1D74D577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Estanquidade à passagem de ar com o registo fechado, segundo norma EN 1751: Classe 2</w:t>
      </w:r>
    </w:p>
    <w:p w14:paraId="262DFACB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 xml:space="preserve">Fecho por disparo de fusível térmico (72 </w:t>
      </w:r>
      <w:proofErr w:type="spellStart"/>
      <w:r w:rsidRPr="00087F0D">
        <w:rPr>
          <w:color w:val="595959"/>
          <w:sz w:val="18"/>
          <w:szCs w:val="18"/>
        </w:rPr>
        <w:t>ºC</w:t>
      </w:r>
      <w:proofErr w:type="spellEnd"/>
      <w:r w:rsidRPr="00087F0D">
        <w:rPr>
          <w:color w:val="595959"/>
          <w:sz w:val="18"/>
          <w:szCs w:val="18"/>
        </w:rPr>
        <w:t>)</w:t>
      </w:r>
    </w:p>
    <w:p w14:paraId="4CFAF8F0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Deverá ter tampa de visita de fácil manuseamento para inspeção interior do fusível e da lâmina.</w:t>
      </w:r>
    </w:p>
    <w:p w14:paraId="532CFC0F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Deverá incluir interruptores auxiliares para sinalização, elétrica, remota de registo aberto e fechado.</w:t>
      </w:r>
    </w:p>
    <w:p w14:paraId="7FCEA25D" w14:textId="77777777" w:rsidR="00F063AB" w:rsidRPr="00087F0D" w:rsidRDefault="00F063AB" w:rsidP="00F063AB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87F0D">
        <w:rPr>
          <w:color w:val="595959"/>
          <w:sz w:val="18"/>
          <w:szCs w:val="18"/>
        </w:rPr>
        <w:t>O rearme será manual.</w:t>
      </w:r>
    </w:p>
    <w:p w14:paraId="3537BE99" w14:textId="77777777" w:rsidR="00F063AB" w:rsidRPr="00087F0D" w:rsidRDefault="00F063AB" w:rsidP="00F063AB">
      <w:pPr>
        <w:spacing w:after="100" w:line="276" w:lineRule="auto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087F0D">
        <w:rPr>
          <w:b/>
          <w:color w:val="000000"/>
        </w:rPr>
        <w:lastRenderedPageBreak/>
        <w:t>Dimensionamento</w:t>
      </w:r>
    </w:p>
    <w:p w14:paraId="3697D451" w14:textId="0A0F545C" w:rsidR="00F063AB" w:rsidRPr="00F063AB" w:rsidRDefault="00F063AB" w:rsidP="00F063AB">
      <w:pPr>
        <w:spacing w:after="120" w:line="260" w:lineRule="exact"/>
        <w:rPr>
          <w:rFonts w:cs="Calibri"/>
          <w:color w:val="595959"/>
          <w:sz w:val="18"/>
          <w:szCs w:val="18"/>
        </w:rPr>
      </w:pPr>
      <w:r w:rsidRPr="00F063AB">
        <w:rPr>
          <w:rFonts w:cs="Calibri"/>
          <w:color w:val="595959"/>
          <w:sz w:val="18"/>
          <w:szCs w:val="18"/>
        </w:rPr>
        <w:t>Como regra geral o registo corta-fogo deve ter a mesma dimensão nominal das condutas onde vai ser inserido. Deve no entanto confirmar-se que a perda de carga máxima não ultrapasse 30 Pa – registo aberto na condição de caudal nominal.</w:t>
      </w:r>
    </w:p>
    <w:p w14:paraId="79B8EE01" w14:textId="77777777" w:rsidR="00F063AB" w:rsidRDefault="00F063AB" w:rsidP="00F063AB">
      <w:pPr>
        <w:spacing w:after="120" w:line="260" w:lineRule="exact"/>
        <w:rPr>
          <w:rFonts w:cs="Calibri"/>
          <w:color w:val="595959"/>
          <w:sz w:val="18"/>
          <w:szCs w:val="18"/>
        </w:rPr>
      </w:pPr>
      <w:r w:rsidRPr="00F063AB">
        <w:rPr>
          <w:rFonts w:cs="Calibri"/>
          <w:color w:val="595959"/>
          <w:sz w:val="18"/>
          <w:szCs w:val="18"/>
        </w:rPr>
        <w:t>Se assim não for deve ser considerado um registo com área efetiva superior.</w:t>
      </w:r>
    </w:p>
    <w:p w14:paraId="603182B0" w14:textId="77777777" w:rsidR="009E517B" w:rsidRDefault="009E517B" w:rsidP="00F063AB">
      <w:pPr>
        <w:spacing w:after="120" w:line="260" w:lineRule="exact"/>
        <w:rPr>
          <w:rFonts w:cs="Calibri"/>
          <w:color w:val="595959"/>
          <w:sz w:val="18"/>
          <w:szCs w:val="18"/>
        </w:rPr>
      </w:pPr>
    </w:p>
    <w:p w14:paraId="43DF06C8" w14:textId="77777777" w:rsidR="009E517B" w:rsidRPr="009960CE" w:rsidRDefault="009E517B" w:rsidP="009E517B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Montagem</w:t>
      </w:r>
    </w:p>
    <w:p w14:paraId="5E140B49" w14:textId="77777777" w:rsidR="009E517B" w:rsidRPr="009960CE" w:rsidRDefault="009E517B" w:rsidP="009E517B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Português. </w:t>
      </w:r>
    </w:p>
    <w:p w14:paraId="4201C730" w14:textId="77777777" w:rsidR="009E517B" w:rsidRDefault="009E517B" w:rsidP="009E517B">
      <w:pPr>
        <w:spacing w:after="120" w:line="260" w:lineRule="exact"/>
        <w:rPr>
          <w:b/>
          <w:color w:val="000000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594343D8" w14:textId="57CC0780" w:rsidR="009E517B" w:rsidRDefault="009E517B" w:rsidP="009E517B">
      <w:pPr>
        <w:spacing w:after="120" w:line="260" w:lineRule="exact"/>
        <w:rPr>
          <w:b/>
          <w:color w:val="000000"/>
        </w:rPr>
      </w:pPr>
      <w:r w:rsidRPr="005A0FF0">
        <w:rPr>
          <w:b/>
          <w:color w:val="000000"/>
        </w:rPr>
        <w:t>Exemplo da montagem preconizada</w:t>
      </w:r>
    </w:p>
    <w:p w14:paraId="612BB7C0" w14:textId="0924132F" w:rsidR="009E517B" w:rsidRPr="00F063AB" w:rsidRDefault="009E517B" w:rsidP="00F063AB">
      <w:pPr>
        <w:spacing w:after="120" w:line="260" w:lineRule="exact"/>
        <w:rPr>
          <w:rFonts w:cs="Calibri"/>
          <w:color w:val="595959"/>
          <w:sz w:val="18"/>
          <w:szCs w:val="18"/>
        </w:rPr>
      </w:pPr>
      <w:r>
        <w:rPr>
          <w:noProof/>
        </w:rPr>
        <w:pict w14:anchorId="7C14F8CA">
          <v:shape id="_x0000_s1029" type="#_x0000_t75" style="position:absolute;margin-left:50.15pt;margin-top:.5pt;width:386.65pt;height:234.7pt;z-index:251659264;mso-position-horizontal-relative:text;mso-position-vertical-relative:text;mso-width-relative:page;mso-height-relative:page">
            <v:imagedata r:id="rId9" o:title="fka2-eu"/>
            <w10:wrap type="topAndBottom"/>
          </v:shape>
        </w:pict>
      </w:r>
    </w:p>
    <w:p w14:paraId="4825771B" w14:textId="77777777" w:rsidR="009E517B" w:rsidRPr="008D3DD5" w:rsidRDefault="009E517B" w:rsidP="009E517B">
      <w:pPr>
        <w:spacing w:after="120" w:line="260" w:lineRule="exact"/>
        <w:rPr>
          <w:b/>
          <w:color w:val="215E99"/>
        </w:rPr>
      </w:pPr>
      <w:r w:rsidRPr="008D3DD5">
        <w:rPr>
          <w:b/>
          <w:color w:val="215E99"/>
        </w:rPr>
        <w:t>Importante:</w:t>
      </w:r>
    </w:p>
    <w:p w14:paraId="43C84F3A" w14:textId="50D68684" w:rsidR="009E517B" w:rsidRPr="009E517B" w:rsidRDefault="009E517B" w:rsidP="009E517B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A</w:t>
      </w:r>
      <w:r w:rsidRPr="008D3DD5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9E517B">
        <w:rPr>
          <w:color w:val="595959"/>
          <w:sz w:val="18"/>
          <w:szCs w:val="18"/>
        </w:rPr>
        <w:t xml:space="preserve">Junta de dilatação </w:t>
      </w:r>
      <w:proofErr w:type="spellStart"/>
      <w:r w:rsidRPr="009E517B">
        <w:rPr>
          <w:color w:val="595959"/>
          <w:sz w:val="18"/>
          <w:szCs w:val="18"/>
        </w:rPr>
        <w:t>flangeada</w:t>
      </w:r>
      <w:proofErr w:type="spellEnd"/>
      <w:r w:rsidRPr="009E517B">
        <w:rPr>
          <w:color w:val="595959"/>
          <w:sz w:val="18"/>
          <w:szCs w:val="18"/>
        </w:rPr>
        <w:t xml:space="preserve"> (acessório opcional). É fortemente recomendada quando o registo é inserido em conduta metálica numa parede leve (pladur, silicato de cálcio ou outro material equivalente).</w:t>
      </w:r>
      <w:r w:rsidR="002E09F0">
        <w:rPr>
          <w:color w:val="595959"/>
          <w:sz w:val="18"/>
          <w:szCs w:val="18"/>
        </w:rPr>
        <w:br/>
      </w:r>
      <w:r w:rsidRPr="009E517B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0A1C0B84" w14:textId="225FC3E0" w:rsidR="009E517B" w:rsidRDefault="009E517B" w:rsidP="009E517B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B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9E517B">
        <w:rPr>
          <w:color w:val="595959"/>
          <w:sz w:val="18"/>
          <w:szCs w:val="18"/>
        </w:rPr>
        <w:t xml:space="preserve">Os órgãos de </w:t>
      </w:r>
      <w:proofErr w:type="spellStart"/>
      <w:r w:rsidRPr="009E517B">
        <w:rPr>
          <w:color w:val="595959"/>
          <w:sz w:val="18"/>
          <w:szCs w:val="18"/>
        </w:rPr>
        <w:t>accionamento</w:t>
      </w:r>
      <w:proofErr w:type="spellEnd"/>
      <w:r w:rsidRPr="009E517B">
        <w:rPr>
          <w:color w:val="595959"/>
          <w:sz w:val="18"/>
          <w:szCs w:val="18"/>
        </w:rPr>
        <w:t xml:space="preserve">, fusível térmico e atuador devem ser protegidos durante todo o processo de encastramento e "chumbo" à parede. </w:t>
      </w:r>
      <w:r w:rsidR="002E09F0">
        <w:rPr>
          <w:color w:val="595959"/>
          <w:sz w:val="18"/>
          <w:szCs w:val="18"/>
        </w:rPr>
        <w:br/>
      </w:r>
      <w:r w:rsidRPr="009E517B">
        <w:rPr>
          <w:color w:val="595959"/>
          <w:sz w:val="18"/>
          <w:szCs w:val="18"/>
        </w:rPr>
        <w:t>Deverão ser destapados somente quando forem colocados em serviço.</w:t>
      </w:r>
    </w:p>
    <w:p w14:paraId="70F26BBE" w14:textId="4EB96EE7" w:rsidR="009E517B" w:rsidRDefault="002E09F0" w:rsidP="009E517B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C</w:t>
      </w:r>
      <w:r w:rsidR="009E517B" w:rsidRPr="006033F1">
        <w:rPr>
          <w:b/>
          <w:bCs/>
          <w:color w:val="215E99"/>
          <w:sz w:val="18"/>
          <w:szCs w:val="18"/>
        </w:rPr>
        <w:t xml:space="preserve"> -</w:t>
      </w:r>
      <w:r w:rsidR="009E517B">
        <w:rPr>
          <w:color w:val="595959"/>
          <w:sz w:val="18"/>
          <w:szCs w:val="18"/>
        </w:rPr>
        <w:t xml:space="preserve"> </w:t>
      </w:r>
      <w:r w:rsidRPr="002E09F0">
        <w:rPr>
          <w:color w:val="595959"/>
          <w:sz w:val="18"/>
          <w:szCs w:val="18"/>
        </w:rPr>
        <w:t>Peça de extensão, permite uma montagem rápida e eficaz do registo e assegura o basculamento livre da lâmina.</w:t>
      </w:r>
    </w:p>
    <w:p w14:paraId="468FA09D" w14:textId="77777777" w:rsidR="00F063AB" w:rsidRDefault="00F063AB" w:rsidP="00F063AB">
      <w:pPr>
        <w:spacing w:after="10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F117171" w14:textId="77777777" w:rsidR="00F063AB" w:rsidRPr="00087F0D" w:rsidRDefault="00F063AB" w:rsidP="00F063A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087F0D">
        <w:rPr>
          <w:rFonts w:cs="Calibri"/>
          <w:b/>
          <w:color w:val="595959"/>
          <w:sz w:val="18"/>
          <w:szCs w:val="18"/>
        </w:rPr>
        <w:t>Marca de referência</w:t>
      </w:r>
      <w:r w:rsidRPr="00087F0D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087F0D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087F0D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087F0D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2B39BDB1" w14:textId="77777777" w:rsidR="00F063AB" w:rsidRPr="00087F0D" w:rsidRDefault="00F063AB" w:rsidP="00F063A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087F0D">
        <w:rPr>
          <w:rFonts w:cs="Calibri"/>
          <w:b/>
          <w:color w:val="595959"/>
          <w:sz w:val="18"/>
          <w:szCs w:val="18"/>
        </w:rPr>
        <w:t>Distribuidor</w:t>
      </w:r>
      <w:r w:rsidRPr="00087F0D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087F0D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087F0D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087F0D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612EE745" w14:textId="77777777" w:rsidR="00F063AB" w:rsidRDefault="00F063AB" w:rsidP="00F063A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087F0D">
        <w:rPr>
          <w:rFonts w:cs="Calibri"/>
          <w:b/>
          <w:color w:val="595959"/>
          <w:sz w:val="18"/>
          <w:szCs w:val="18"/>
        </w:rPr>
        <w:t>Modelo</w:t>
      </w:r>
      <w:r w:rsidRPr="00087F0D">
        <w:rPr>
          <w:rFonts w:cs="Calibri"/>
          <w:b/>
          <w:color w:val="595959"/>
          <w:sz w:val="18"/>
          <w:szCs w:val="18"/>
        </w:rPr>
        <w:tab/>
        <w:t xml:space="preserve"> FKA2-EU</w:t>
      </w:r>
    </w:p>
    <w:p w14:paraId="2F0B5790" w14:textId="77777777" w:rsidR="00F063AB" w:rsidRDefault="00F063AB" w:rsidP="00F063A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2"/>
          <w:szCs w:val="12"/>
        </w:rPr>
      </w:pPr>
    </w:p>
    <w:p w14:paraId="612AEDA7" w14:textId="77777777" w:rsidR="00F063AB" w:rsidRPr="001E741F" w:rsidRDefault="00F063AB" w:rsidP="00F063A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1E741F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/FK</w:t>
      </w:r>
      <w:r>
        <w:rPr>
          <w:rFonts w:ascii="Calibri Light" w:hAnsi="Calibri Light" w:cs="Calibri Light"/>
          <w:sz w:val="12"/>
          <w:szCs w:val="12"/>
        </w:rPr>
        <w:t>A2</w:t>
      </w:r>
      <w:r w:rsidRPr="001E741F">
        <w:rPr>
          <w:rFonts w:ascii="Calibri Light" w:hAnsi="Calibri Light" w:cs="Calibri Light"/>
          <w:sz w:val="12"/>
          <w:szCs w:val="12"/>
        </w:rPr>
        <w:t>-EU_</w:t>
      </w:r>
      <w:r>
        <w:rPr>
          <w:rFonts w:ascii="Calibri Light" w:hAnsi="Calibri Light" w:cs="Calibri Light"/>
          <w:sz w:val="12"/>
          <w:szCs w:val="12"/>
        </w:rPr>
        <w:t>termico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14:paraId="46EBFE4D" w14:textId="77777777"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6687B99F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E93F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0FBA43FD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E5A7" w14:textId="77777777" w:rsidR="00D918BE" w:rsidRDefault="002E09F0">
    <w:pPr>
      <w:pStyle w:val="Rodap"/>
      <w:jc w:val="center"/>
    </w:pPr>
    <w:r>
      <w:rPr>
        <w:noProof/>
      </w:rPr>
      <w:pict w14:anchorId="55705D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7E4CBA89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>
      <w:rPr>
        <w:noProof/>
      </w:rPr>
      <w:pict w14:anchorId="52BB80E5">
        <v:shape id="Caixa de Texto 2" o:spid="_x0000_s2049" type="#_x0000_t202" style="position:absolute;left:0;text-align:left;margin-left:-30.85pt;margin-top:.25pt;width:114.85pt;height:110.6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 style="mso-fit-shape-to-text:t">
            <w:txbxContent>
              <w:p w14:paraId="359A8C9A" w14:textId="62704E6D" w:rsidR="00114D17" w:rsidRDefault="00D918BE">
                <w:r>
                  <w:t>www.contimetra.com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39FEF7BB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2772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51520FD3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DAA3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7EB48A6F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1947">
    <w:abstractNumId w:val="2"/>
  </w:num>
  <w:num w:numId="2" w16cid:durableId="1413889454">
    <w:abstractNumId w:val="1"/>
  </w:num>
  <w:num w:numId="3" w16cid:durableId="201141217">
    <w:abstractNumId w:val="4"/>
  </w:num>
  <w:num w:numId="4" w16cid:durableId="1708212923">
    <w:abstractNumId w:val="5"/>
  </w:num>
  <w:num w:numId="5" w16cid:durableId="817961105">
    <w:abstractNumId w:val="8"/>
  </w:num>
  <w:num w:numId="6" w16cid:durableId="2137260471">
    <w:abstractNumId w:val="6"/>
  </w:num>
  <w:num w:numId="7" w16cid:durableId="289827225">
    <w:abstractNumId w:val="3"/>
  </w:num>
  <w:num w:numId="8" w16cid:durableId="1783263451">
    <w:abstractNumId w:val="9"/>
  </w:num>
  <w:num w:numId="9" w16cid:durableId="1159999848">
    <w:abstractNumId w:val="0"/>
  </w:num>
  <w:num w:numId="10" w16cid:durableId="133880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09F0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F7DE5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F51F3"/>
    <w:rsid w:val="006F7414"/>
    <w:rsid w:val="007025D1"/>
    <w:rsid w:val="00714122"/>
    <w:rsid w:val="007159BD"/>
    <w:rsid w:val="00765C50"/>
    <w:rsid w:val="00775719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9E517B"/>
    <w:rsid w:val="00A078D6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063AB"/>
    <w:rsid w:val="00F10118"/>
    <w:rsid w:val="00F13205"/>
    <w:rsid w:val="00F3525F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14C321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B38E-B30C-407F-97F3-F6FA89AC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2023-03-02T12:07:00Z</dcterms:created>
  <dcterms:modified xsi:type="dcterms:W3CDTF">2024-03-13T16:37:00Z</dcterms:modified>
</cp:coreProperties>
</file>